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330" w:lineRule="exact"/>
        <w:rPr>
          <w:rFonts w:hint="eastAsia" w:ascii="宋体" w:hAnsi="宋体"/>
          <w:b/>
          <w:bCs/>
          <w:sz w:val="28"/>
          <w:szCs w:val="28"/>
          <w:lang w:val="en-US" w:eastAsia="zh-CN"/>
        </w:rPr>
      </w:pPr>
      <w:r>
        <w:rPr>
          <w:rFonts w:hint="eastAsia" w:ascii="宋体" w:hAnsi="宋体" w:eastAsia="宋体" w:cs="宋体"/>
          <w:b/>
          <w:bCs/>
          <w:sz w:val="32"/>
          <w:szCs w:val="32"/>
        </w:rPr>
        <w:t>附件：</w:t>
      </w:r>
    </w:p>
    <w:p>
      <w:pPr>
        <w:spacing w:beforeLines="0" w:afterLines="0"/>
        <w:jc w:val="left"/>
        <w:rPr>
          <w:rFonts w:hint="eastAsia" w:ascii="宋体" w:hAnsi="宋体" w:eastAsia="宋体"/>
          <w:b/>
          <w:bCs/>
          <w:sz w:val="28"/>
          <w:szCs w:val="24"/>
          <w:lang w:val="en-US" w:eastAsia="zh-CN"/>
        </w:rPr>
      </w:pPr>
    </w:p>
    <w:p>
      <w:pPr>
        <w:spacing w:beforeLines="0" w:afterLines="0"/>
        <w:jc w:val="left"/>
        <w:rPr>
          <w:rFonts w:hint="eastAsia" w:ascii="宋体" w:hAnsi="宋体" w:eastAsia="宋体"/>
          <w:b/>
          <w:bCs/>
          <w:sz w:val="28"/>
          <w:szCs w:val="24"/>
        </w:rPr>
      </w:pPr>
      <w:r>
        <w:rPr>
          <w:rFonts w:hint="eastAsia" w:ascii="宋体" w:hAnsi="宋体"/>
          <w:b/>
          <w:bCs/>
          <w:sz w:val="28"/>
          <w:szCs w:val="24"/>
          <w:lang w:val="en-US" w:eastAsia="zh-CN"/>
        </w:rPr>
        <w:t>一、</w:t>
      </w:r>
      <w:r>
        <w:rPr>
          <w:rFonts w:hint="eastAsia" w:ascii="宋体" w:hAnsi="宋体" w:eastAsia="宋体"/>
          <w:b/>
          <w:bCs/>
          <w:sz w:val="28"/>
          <w:szCs w:val="24"/>
          <w:lang w:val="en-US" w:eastAsia="zh-CN"/>
        </w:rPr>
        <w:t>将“第五章 采购内容及总体要求</w:t>
      </w:r>
      <w:r>
        <w:rPr>
          <w:rFonts w:hint="eastAsia" w:ascii="宋体" w:hAnsi="宋体"/>
          <w:b/>
          <w:bCs/>
          <w:sz w:val="28"/>
          <w:szCs w:val="24"/>
          <w:lang w:val="en-US" w:eastAsia="zh-CN"/>
        </w:rPr>
        <w:t xml:space="preserve"> </w:t>
      </w:r>
      <w:r>
        <w:rPr>
          <w:rFonts w:hint="eastAsia" w:ascii="宋体" w:hAnsi="宋体" w:eastAsia="宋体"/>
          <w:b/>
          <w:bCs/>
          <w:sz w:val="28"/>
          <w:szCs w:val="24"/>
          <w:lang w:val="en-US" w:eastAsia="zh-CN"/>
        </w:rPr>
        <w:t>二、技术要求”</w:t>
      </w:r>
      <w:r>
        <w:rPr>
          <w:rFonts w:hint="eastAsia" w:ascii="宋体" w:hAnsi="宋体" w:eastAsia="宋体"/>
          <w:b/>
          <w:bCs/>
          <w:sz w:val="28"/>
          <w:szCs w:val="24"/>
        </w:rPr>
        <w:t>中：</w:t>
      </w:r>
    </w:p>
    <w:p>
      <w:pPr>
        <w:spacing w:beforeLines="0" w:afterLine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w:t>
      </w:r>
      <w:r>
        <w:rPr>
          <w:rFonts w:hint="default" w:ascii="Times New Roman" w:hAnsi="Times New Roman" w:eastAsia="宋体" w:cs="Times New Roman"/>
          <w:b w:val="0"/>
          <w:bCs w:val="0"/>
          <w:sz w:val="28"/>
          <w:szCs w:val="28"/>
          <w:lang w:val="en-US" w:eastAsia="zh-CN"/>
        </w:rPr>
        <w:t>马鞍山师范高等专科学校北侧两个地块均位于雨山区佳山乡汤阳村，地块后续规划用地性质为第一类用地中的教育用地。</w:t>
      </w:r>
      <w:r>
        <w:rPr>
          <w:rFonts w:hint="eastAsia" w:ascii="Times New Roman" w:hAnsi="Times New Roman" w:eastAsia="宋体" w:cs="Times New Roman"/>
          <w:b w:val="0"/>
          <w:bCs w:val="0"/>
          <w:sz w:val="28"/>
          <w:szCs w:val="28"/>
          <w:lang w:val="en-US" w:eastAsia="zh-CN"/>
        </w:rPr>
        <w:t>”</w:t>
      </w:r>
    </w:p>
    <w:p>
      <w:pPr>
        <w:spacing w:beforeLines="0" w:afterLine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更正为</w:t>
      </w:r>
    </w:p>
    <w:p>
      <w:pPr>
        <w:pStyle w:val="2"/>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w:t>
      </w:r>
      <w:r>
        <w:rPr>
          <w:rFonts w:hint="default" w:ascii="Times New Roman" w:hAnsi="Times New Roman" w:eastAsia="宋体" w:cs="Times New Roman"/>
          <w:b w:val="0"/>
          <w:bCs w:val="0"/>
          <w:sz w:val="28"/>
          <w:szCs w:val="28"/>
          <w:lang w:val="en-US" w:eastAsia="zh-CN"/>
        </w:rPr>
        <w:t>马鞍山师范高等专科学校北侧两个地块均位于雨山区佳山乡汤阳村，地块后续规划用地性质为第一类用地中的教育用地。</w:t>
      </w:r>
      <w:r>
        <w:rPr>
          <w:rFonts w:hint="eastAsia" w:ascii="Times New Roman" w:hAnsi="Times New Roman" w:eastAsia="宋体" w:cs="Times New Roman"/>
          <w:b w:val="0"/>
          <w:bCs w:val="0"/>
          <w:sz w:val="28"/>
          <w:szCs w:val="28"/>
          <w:lang w:val="en-US" w:eastAsia="zh-CN"/>
        </w:rPr>
        <w:t>地块一面积约为39716.3平方米，历史上为村庄和农用地；地块二面积约为12078.17平方米，历史上为村庄、预制件厂和废品回收等，存在潜在污染风险，地块需要进行第二阶段初步采样分析调查，通过现场采样分析确定地块是否存在污染。（详见附图一、附图二）现需对以上两处地块进行土壤污染状况调查，出具调查报告。成交供应商同时配合采购人办理不动产权证书。”</w:t>
      </w:r>
    </w:p>
    <w:p>
      <w:pPr>
        <w:rPr>
          <w:rFonts w:hint="eastAsia"/>
          <w:lang w:val="en-US" w:eastAsia="zh-CN"/>
        </w:rPr>
      </w:pPr>
    </w:p>
    <w:p>
      <w:pPr>
        <w:rPr>
          <w:rFonts w:hint="default"/>
          <w:lang w:val="en-US" w:eastAsia="zh-CN"/>
        </w:rPr>
      </w:pPr>
      <w:r>
        <w:rPr>
          <w:rFonts w:hint="default"/>
          <w:lang w:val="en-US" w:eastAsia="zh-CN"/>
        </w:rPr>
        <w:drawing>
          <wp:inline distT="0" distB="0" distL="114300" distR="114300">
            <wp:extent cx="5646420" cy="8066405"/>
            <wp:effectExtent l="0" t="0" r="5080" b="13970"/>
            <wp:docPr id="1" name="图片 1" descr="04yys0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4yys04-2023"/>
                    <pic:cNvPicPr>
                      <a:picLocks noChangeAspect="1"/>
                    </pic:cNvPicPr>
                  </pic:nvPicPr>
                  <pic:blipFill>
                    <a:blip r:embed="rId4"/>
                    <a:stretch>
                      <a:fillRect/>
                    </a:stretch>
                  </pic:blipFill>
                  <pic:spPr>
                    <a:xfrm>
                      <a:off x="0" y="0"/>
                      <a:ext cx="5646420" cy="8066405"/>
                    </a:xfrm>
                    <a:prstGeom prst="rect">
                      <a:avLst/>
                    </a:prstGeom>
                  </pic:spPr>
                </pic:pic>
              </a:graphicData>
            </a:graphic>
          </wp:inline>
        </w:drawing>
      </w:r>
    </w:p>
    <w:p>
      <w:pPr>
        <w:jc w:val="center"/>
        <w:rPr>
          <w:rFonts w:hint="default"/>
          <w:sz w:val="28"/>
          <w:szCs w:val="28"/>
          <w:lang w:val="en-US" w:eastAsia="zh-CN"/>
        </w:rPr>
      </w:pPr>
      <w:r>
        <w:rPr>
          <w:rFonts w:hint="eastAsia"/>
          <w:sz w:val="28"/>
          <w:szCs w:val="28"/>
          <w:lang w:val="en-US" w:eastAsia="zh-CN"/>
        </w:rPr>
        <w:t>附图1</w:t>
      </w:r>
    </w:p>
    <w:p>
      <w:pPr>
        <w:rPr>
          <w:rFonts w:hint="default"/>
          <w:lang w:val="en-US" w:eastAsia="zh-CN"/>
        </w:rPr>
      </w:pPr>
      <w:r>
        <w:rPr>
          <w:rFonts w:hint="default"/>
          <w:lang w:val="en-US" w:eastAsia="zh-CN"/>
        </w:rPr>
        <w:drawing>
          <wp:inline distT="0" distB="0" distL="114300" distR="114300">
            <wp:extent cx="5273675" cy="4747895"/>
            <wp:effectExtent l="0" t="0" r="12700" b="14605"/>
            <wp:docPr id="2" name="图片 2" descr="FVK{DYNC1U9DGT}`JVU7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VK{DYNC1U9DGT}`JVU7B1F"/>
                    <pic:cNvPicPr>
                      <a:picLocks noChangeAspect="1"/>
                    </pic:cNvPicPr>
                  </pic:nvPicPr>
                  <pic:blipFill>
                    <a:blip r:embed="rId5"/>
                    <a:stretch>
                      <a:fillRect/>
                    </a:stretch>
                  </pic:blipFill>
                  <pic:spPr>
                    <a:xfrm>
                      <a:off x="0" y="0"/>
                      <a:ext cx="5273675" cy="4747895"/>
                    </a:xfrm>
                    <a:prstGeom prst="rect">
                      <a:avLst/>
                    </a:prstGeom>
                  </pic:spPr>
                </pic:pic>
              </a:graphicData>
            </a:graphic>
          </wp:inline>
        </w:drawing>
      </w:r>
    </w:p>
    <w:p>
      <w:pPr>
        <w:jc w:val="center"/>
        <w:rPr>
          <w:rFonts w:hint="default"/>
          <w:sz w:val="28"/>
          <w:szCs w:val="28"/>
          <w:lang w:val="en-US" w:eastAsia="zh-CN"/>
        </w:rPr>
      </w:pPr>
      <w:r>
        <w:rPr>
          <w:rFonts w:hint="eastAsia"/>
          <w:sz w:val="28"/>
          <w:szCs w:val="28"/>
          <w:lang w:val="en-US" w:eastAsia="zh-CN"/>
        </w:rPr>
        <w:t>附图2（地块一为图中标注①位置；地块二为图中标注②位置</w:t>
      </w:r>
      <w:bookmarkStart w:id="0" w:name="_GoBack"/>
      <w:bookmarkEnd w:id="0"/>
      <w:r>
        <w:rPr>
          <w:rFonts w:hint="eastAsia"/>
          <w:sz w:val="28"/>
          <w:szCs w:val="28"/>
          <w:lang w:val="en-US" w:eastAsia="zh-CN"/>
        </w:rPr>
        <w:t>）</w:t>
      </w:r>
    </w:p>
    <w:p>
      <w:pPr>
        <w:numPr>
          <w:ilvl w:val="0"/>
          <w:numId w:val="0"/>
        </w:numPr>
        <w:spacing w:beforeLines="0" w:afterLines="0"/>
        <w:jc w:val="left"/>
        <w:rPr>
          <w:rFonts w:hint="eastAsia" w:ascii="宋体" w:hAnsi="宋体" w:eastAsia="宋体" w:cs="Times New Roman"/>
          <w:b/>
          <w:bCs/>
          <w:kern w:val="2"/>
          <w:sz w:val="28"/>
          <w:szCs w:val="24"/>
          <w:lang w:val="en-US" w:eastAsia="zh-CN" w:bidi="ar-SA"/>
        </w:rPr>
      </w:pPr>
    </w:p>
    <w:p>
      <w:pPr>
        <w:numPr>
          <w:ilvl w:val="0"/>
          <w:numId w:val="0"/>
        </w:numPr>
        <w:spacing w:beforeLines="0" w:afterLines="0"/>
        <w:jc w:val="left"/>
        <w:rPr>
          <w:rFonts w:hint="eastAsia" w:ascii="宋体" w:hAnsi="宋体" w:eastAsia="宋体"/>
          <w:b/>
          <w:bCs/>
          <w:sz w:val="28"/>
          <w:szCs w:val="24"/>
        </w:rPr>
      </w:pPr>
      <w:r>
        <w:rPr>
          <w:rFonts w:hint="eastAsia" w:ascii="宋体" w:hAnsi="宋体" w:eastAsia="宋体" w:cs="Times New Roman"/>
          <w:b/>
          <w:bCs/>
          <w:kern w:val="2"/>
          <w:sz w:val="28"/>
          <w:szCs w:val="24"/>
          <w:lang w:val="en-US" w:eastAsia="zh-CN" w:bidi="ar-SA"/>
        </w:rPr>
        <w:t>二、</w:t>
      </w:r>
      <w:r>
        <w:rPr>
          <w:rFonts w:hint="eastAsia" w:ascii="宋体" w:hAnsi="宋体" w:eastAsia="宋体"/>
          <w:b/>
          <w:bCs/>
          <w:sz w:val="28"/>
          <w:szCs w:val="24"/>
          <w:lang w:val="en-US" w:eastAsia="zh-CN"/>
        </w:rPr>
        <w:t>将“第五章 采购内容及总体要求</w:t>
      </w:r>
      <w:r>
        <w:rPr>
          <w:rFonts w:hint="eastAsia" w:ascii="宋体" w:hAnsi="宋体"/>
          <w:b/>
          <w:bCs/>
          <w:sz w:val="28"/>
          <w:szCs w:val="24"/>
          <w:lang w:val="en-US" w:eastAsia="zh-CN"/>
        </w:rPr>
        <w:t xml:space="preserve"> 三、商务要求</w:t>
      </w:r>
      <w:r>
        <w:rPr>
          <w:rFonts w:hint="eastAsia" w:ascii="宋体" w:hAnsi="宋体" w:eastAsia="宋体"/>
          <w:b/>
          <w:bCs/>
          <w:sz w:val="28"/>
          <w:szCs w:val="24"/>
          <w:lang w:val="en-US" w:eastAsia="zh-CN"/>
        </w:rPr>
        <w:t>”</w:t>
      </w:r>
      <w:r>
        <w:rPr>
          <w:rFonts w:hint="eastAsia" w:ascii="宋体" w:hAnsi="宋体" w:eastAsia="宋体"/>
          <w:b/>
          <w:bCs/>
          <w:sz w:val="28"/>
          <w:szCs w:val="24"/>
        </w:rPr>
        <w:t>中：</w:t>
      </w:r>
    </w:p>
    <w:p>
      <w:pPr>
        <w:pStyle w:val="2"/>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“6、本次采购的总报价包含了本项目验收合格交付使用前的全部费用及所有价内价外税金及合理利润等。”</w:t>
      </w:r>
    </w:p>
    <w:p>
      <w:pPr>
        <w:pStyle w:val="2"/>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更正为</w:t>
      </w:r>
    </w:p>
    <w:p>
      <w:pPr>
        <w:pStyle w:val="2"/>
        <w:rPr>
          <w:rFonts w:hint="default"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“6、项目的总报价包含了履行本项目所有内容的全部费用及所有价内价外税金及合理利润等。”</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hYzQwN2E0MDZiYjZiN2IxZDIyY2ZhNmQ0Y2NlNTYifQ=="/>
  </w:docVars>
  <w:rsids>
    <w:rsidRoot w:val="00000000"/>
    <w:rsid w:val="049534BC"/>
    <w:rsid w:val="10EE6641"/>
    <w:rsid w:val="116505E2"/>
    <w:rsid w:val="16DB46E7"/>
    <w:rsid w:val="2F0B57DC"/>
    <w:rsid w:val="701405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jc w:val="left"/>
    </w:pPr>
    <w:rPr>
      <w:rFonts w:ascii="Arial" w:hAnsi="Arial" w:eastAsia="黑体"/>
      <w:b/>
      <w:sz w:val="32"/>
    </w:rPr>
  </w:style>
  <w:style w:type="paragraph" w:styleId="3">
    <w:name w:val="annotation text"/>
    <w:basedOn w:val="1"/>
    <w:qFormat/>
    <w:uiPriority w:val="0"/>
    <w:pPr>
      <w:jc w:val="left"/>
    </w:pPr>
  </w:style>
  <w:style w:type="paragraph" w:styleId="4">
    <w:name w:val="Body Text Indent"/>
    <w:basedOn w:val="1"/>
    <w:next w:val="1"/>
    <w:qFormat/>
    <w:uiPriority w:val="99"/>
    <w:pPr>
      <w:ind w:firstLine="645"/>
    </w:pPr>
    <w:rPr>
      <w:rFonts w:ascii="Arial" w:hAnsi="Arial" w:eastAsia="仿宋_GB2312"/>
      <w:sz w:val="28"/>
    </w:rPr>
  </w:style>
  <w:style w:type="paragraph" w:styleId="5">
    <w:name w:val="footer"/>
    <w:basedOn w:val="1"/>
    <w:qFormat/>
    <w:uiPriority w:val="0"/>
    <w:pPr>
      <w:tabs>
        <w:tab w:val="center" w:pos="4153"/>
        <w:tab w:val="right" w:pos="8306"/>
      </w:tabs>
      <w:snapToGrid w:val="0"/>
      <w:jc w:val="left"/>
    </w:pPr>
    <w:rPr>
      <w:sz w:val="18"/>
      <w:lang w:bidi="he-IL"/>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able of figures"/>
    <w:basedOn w:val="1"/>
    <w:next w:val="1"/>
    <w:unhideWhenUsed/>
    <w:qFormat/>
    <w:uiPriority w:val="0"/>
    <w:pPr>
      <w:ind w:left="200" w:leftChars="200" w:hanging="200" w:hangingChars="200"/>
    </w:pPr>
    <w:rPr>
      <w:rFonts w:ascii="Calibri" w:hAnsi="Calibri"/>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2024-01-29T01:30:00Z</dcterms:created>
  <dc:creator>lenovo</dc:creator>
  <cp:lastModifiedBy>嘘！低调</cp:lastModifiedBy>
  <cp:lastPrinted>2024-01-29T06:57:00Z</cp:lastPrinted>
  <dcterms:modified xsi:type="dcterms:W3CDTF">2024-01-29T07:01:49Z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BAC9EC039ED54BE4A4DC231769D796AD_13</vt:lpwstr>
  </property>
</Properties>
</file>